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spacing w:after="0"/>
        <w:ind w:left="0"/>
        <w:jc w:val="left"/>
        <w:textAlignment w:val="auto"/>
      </w:pPr>
      <w:r>
        <w:rPr>
          <w:rFonts w:ascii="Times New Roman"/>
          <w:b/>
          <w:i w:val="false"/>
          <w:color w:val="000000"/>
          <w:sz w:val="24"/>
          <w:lang w:val="ro-RO"/>
        </w:rPr>
        <w:t>Metodologie-Cadru din 2026 privind elaborarea şi gestionarea portofoliului profesional al cadrului didactic</w:t>
      </w:r>
      <w:r>
        <w:br/>
      </w:r>
      <w:r>
        <w:br/>
      </w:r>
    </w:p>
    <w:p>
      <w:pPr>
        <w:pStyle w:val="NormalStyle"/>
      </w:pPr>
      <w:r>
        <w:t>Metodologie-Cadru din 2026 din 2026.05.08</w:t>
      </w:r>
    </w:p>
    <w:p>
      <w:pPr>
        <w:pStyle w:val="NormalStyle"/>
      </w:pPr>
      <w:r>
        <w:t xml:space="preserve">Status: Acte în vigoare </w:t>
      </w:r>
    </w:p>
    <w:p>
      <w:pPr>
        <w:pStyle w:val="NormalStyle"/>
      </w:pPr>
      <w:r>
        <w:t xml:space="preserve">Versiune de la: 8 Mai 2026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8 Mai 2026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Metodologie-Cadru din 2026 privind elaborarea şi gestionarea portofoliului profesional al cadrului didactic</w:t>
      </w:r>
    </w:p>
    <w:p>
      <w:pPr>
        <w:spacing w:before="80" w:after="0"/>
        <w:ind w:left="0"/>
        <w:jc w:val="center"/>
        <w:textAlignment w:val="auto"/>
      </w:pPr>
      <w:r>
        <w:rPr>
          <w:rFonts w:ascii="Times New Roman"/>
          <w:b w:val="false"/>
          <w:i w:val="false"/>
          <w:color w:val="000000"/>
          <w:sz w:val="24"/>
          <w:lang w:val="ro-RO"/>
        </w:rPr>
        <w:t>Dată act: 30-apr-2026</w:t>
      </w:r>
    </w:p>
    <w:p>
      <w:pPr>
        <w:spacing w:after="0"/>
        <w:ind w:left="0"/>
        <w:jc w:val="center"/>
        <w:textAlignment w:val="auto"/>
      </w:pPr>
      <w:r>
        <w:rPr>
          <w:rFonts w:ascii="Times New Roman"/>
          <w:b/>
          <w:i w:val="false"/>
          <w:color w:val="000000"/>
          <w:sz w:val="24"/>
          <w:lang w:val="ro-RO"/>
        </w:rPr>
        <w:t>Emitent: Ministerul Educatiei si Cercetarii</w:t>
      </w:r>
    </w:p>
    <w:p>
      <w:pPr>
        <w:spacing w:before="80" w:after="240"/>
        <w:ind w:left="0"/>
        <w:jc w:val="center"/>
        <w:textAlignment w:val="auto"/>
      </w:pP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 xml:space="preserve">Prezenta metodologie-cadru privind elaborarea şi gestionarea portofoliului profesional al cadrului didactic, denumită în continuare </w:t>
      </w:r>
      <w:r>
        <w:rPr>
          <w:rFonts w:ascii="Times New Roman"/>
          <w:b w:val="false"/>
          <w:i/>
          <w:color w:val="000000"/>
          <w:sz w:val="24"/>
          <w:lang w:val="ro-RO"/>
        </w:rPr>
        <w:t>metodologie</w:t>
      </w:r>
      <w:r>
        <w:rPr>
          <w:rFonts w:ascii="Times New Roman"/>
          <w:b w:val="false"/>
          <w:i w:val="false"/>
          <w:color w:val="000000"/>
          <w:sz w:val="24"/>
          <w:lang w:val="ro-RO"/>
        </w:rPr>
        <w:t>, reglementează cadrul unitar, coerent şi funcţional privind structura, elaborarea, actualizarea şi gestionarea portofoliului profesional al cadrelor didactice.</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2 </w:t>
      </w:r>
    </w:p>
    <w:p>
      <w:pPr>
        <w:spacing w:after="0"/>
        <w:ind w:left="0"/>
        <w:jc w:val="left"/>
        <w:textAlignment w:val="auto"/>
      </w:pPr>
      <w:r>
        <w:rPr>
          <w:rFonts w:ascii="Times New Roman"/>
          <w:b w:val="false"/>
          <w:i w:val="false"/>
          <w:color w:val="000000"/>
          <w:sz w:val="24"/>
          <w:lang w:val="ro-RO"/>
        </w:rPr>
        <w:t>În sensul prezentei metodologii, următorii termeni se definesc astfel:</w:t>
      </w:r>
    </w:p>
    <w:p>
      <w:pPr>
        <w:spacing w:after="0"/>
        <w:ind w:left="0"/>
        <w:jc w:val="left"/>
        <w:textAlignment w:val="auto"/>
      </w:pPr>
      <w:r>
        <w:rPr>
          <w:rFonts w:ascii="Times New Roman"/>
          <w:b w:val="false"/>
          <w:i w:val="false"/>
          <w:color w:val="000000"/>
          <w:sz w:val="24"/>
          <w:lang w:val="ro-RO"/>
        </w:rPr>
        <w:t>a)</w:t>
      </w:r>
      <w:r>
        <w:rPr>
          <w:rFonts w:ascii="Times New Roman"/>
          <w:b w:val="false"/>
          <w:i/>
          <w:color w:val="000000"/>
          <w:sz w:val="24"/>
          <w:lang w:val="ro-RO"/>
        </w:rPr>
        <w:t>portofoliul profesional al cadrului didactic</w:t>
      </w:r>
      <w:r>
        <w:rPr>
          <w:rFonts w:ascii="Times New Roman"/>
          <w:b w:val="false"/>
          <w:i w:val="false"/>
          <w:color w:val="000000"/>
          <w:sz w:val="24"/>
          <w:lang w:val="ro-RO"/>
        </w:rPr>
        <w:t xml:space="preserve">, denumit în continuare </w:t>
      </w:r>
      <w:r>
        <w:rPr>
          <w:rFonts w:ascii="Times New Roman"/>
          <w:b w:val="false"/>
          <w:i/>
          <w:color w:val="000000"/>
          <w:sz w:val="24"/>
          <w:lang w:val="ro-RO"/>
        </w:rPr>
        <w:t>portofoliu profesional</w:t>
      </w:r>
      <w:r>
        <w:rPr>
          <w:rFonts w:ascii="Times New Roman"/>
          <w:b w:val="false"/>
          <w:i w:val="false"/>
          <w:color w:val="000000"/>
          <w:sz w:val="24"/>
          <w:lang w:val="ro-RO"/>
        </w:rPr>
        <w:t>, reprezintă totalitatea documentelor referitoare la activitatea profesională, didactică şi de învăţare pe tot parcursul vieţii, respectiv colecţia de documente de studii şi documente specifice, dovezi ale pregătirii profesionale, ale activităţii didactice, educative şi de management al clasei, precum şi ale elaborării materialelor didactice, resurselor educaţionale deschise, care atestă competenţele profesionale şi evoluţia profesională a cadrului didactic, în conformitate cu profilul de competenţe profesionale şi standardele profesionale;</w:t>
      </w:r>
    </w:p>
    <w:p>
      <w:pPr>
        <w:spacing w:after="0"/>
        <w:ind w:left="0"/>
        <w:jc w:val="left"/>
        <w:textAlignment w:val="auto"/>
      </w:pPr>
      <w:r>
        <w:rPr>
          <w:rFonts w:ascii="Times New Roman"/>
          <w:b w:val="false"/>
          <w:i w:val="false"/>
          <w:color w:val="000000"/>
          <w:sz w:val="24"/>
          <w:lang w:val="ro-RO"/>
        </w:rPr>
        <w:t>b)</w:t>
      </w:r>
      <w:r>
        <w:rPr>
          <w:rFonts w:ascii="Times New Roman"/>
          <w:b w:val="false"/>
          <w:i/>
          <w:color w:val="000000"/>
          <w:sz w:val="24"/>
          <w:lang w:val="ro-RO"/>
        </w:rPr>
        <w:t>portofoliul digital</w:t>
      </w:r>
      <w:r>
        <w:rPr>
          <w:rFonts w:ascii="Times New Roman"/>
          <w:b w:val="false"/>
          <w:i w:val="false"/>
          <w:color w:val="000000"/>
          <w:sz w:val="24"/>
          <w:lang w:val="ro-RO"/>
        </w:rPr>
        <w:t xml:space="preserve"> sau </w:t>
      </w:r>
      <w:r>
        <w:rPr>
          <w:rFonts w:ascii="Times New Roman"/>
          <w:b w:val="false"/>
          <w:i/>
          <w:color w:val="000000"/>
          <w:sz w:val="24"/>
          <w:lang w:val="ro-RO"/>
        </w:rPr>
        <w:t>e-portofoliul</w:t>
      </w:r>
      <w:r>
        <w:rPr>
          <w:rFonts w:ascii="Times New Roman"/>
          <w:b w:val="false"/>
          <w:i w:val="false"/>
          <w:color w:val="000000"/>
          <w:sz w:val="24"/>
          <w:lang w:val="ro-RO"/>
        </w:rPr>
        <w:t xml:space="preserve"> reprezintă ansamblul documentelor prevăzute la lit. a) în format electronic/digital, stocate în platforma digitală indicată de unitatea de învăţământ, în condiţii de securitate informatică, în "cloud" sau pe un dispozitiv fizic de stocare, asigurând interoperabilitatea datelor pentru a permite transferul facil între unităţi de învăţământ în cazul mobilităţii personalului;</w:t>
      </w:r>
    </w:p>
    <w:p>
      <w:pPr>
        <w:spacing w:after="0"/>
        <w:ind w:left="0"/>
        <w:jc w:val="left"/>
        <w:textAlignment w:val="auto"/>
      </w:pPr>
      <w:r>
        <w:rPr>
          <w:rFonts w:ascii="Times New Roman"/>
          <w:b w:val="false"/>
          <w:i w:val="false"/>
          <w:color w:val="000000"/>
          <w:sz w:val="24"/>
          <w:lang w:val="ro-RO"/>
        </w:rPr>
        <w:t>c)</w:t>
      </w:r>
      <w:r>
        <w:rPr>
          <w:rFonts w:ascii="Times New Roman"/>
          <w:b w:val="false"/>
          <w:i/>
          <w:color w:val="000000"/>
          <w:sz w:val="24"/>
          <w:lang w:val="ro-RO"/>
        </w:rPr>
        <w:t>opisul portofoliului profesional al cadrului didactic</w:t>
      </w:r>
      <w:r>
        <w:rPr>
          <w:rFonts w:ascii="Times New Roman"/>
          <w:b w:val="false"/>
          <w:i w:val="false"/>
          <w:color w:val="000000"/>
          <w:sz w:val="24"/>
          <w:lang w:val="ro-RO"/>
        </w:rPr>
        <w:t xml:space="preserve"> reprezintă lista ordonată a tuturor documentelor, site-urilor cu aplicaţii utilizate şi a materialelor incluse în portofoliul profesional;</w:t>
      </w:r>
    </w:p>
    <w:p>
      <w:pPr>
        <w:spacing w:after="0"/>
        <w:ind w:left="0"/>
        <w:jc w:val="left"/>
        <w:textAlignment w:val="auto"/>
      </w:pPr>
      <w:r>
        <w:rPr>
          <w:rFonts w:ascii="Times New Roman"/>
          <w:b w:val="false"/>
          <w:i w:val="false"/>
          <w:color w:val="000000"/>
          <w:sz w:val="24"/>
          <w:lang w:val="ro-RO"/>
        </w:rPr>
        <w:t>d)</w:t>
      </w:r>
      <w:r>
        <w:rPr>
          <w:rFonts w:ascii="Times New Roman"/>
          <w:b w:val="false"/>
          <w:i/>
          <w:color w:val="000000"/>
          <w:sz w:val="24"/>
          <w:lang w:val="ro-RO"/>
        </w:rPr>
        <w:t>dosarul personal al cadrului didactic</w:t>
      </w:r>
      <w:r>
        <w:rPr>
          <w:rFonts w:ascii="Times New Roman"/>
          <w:b w:val="false"/>
          <w:i w:val="false"/>
          <w:color w:val="000000"/>
          <w:sz w:val="24"/>
          <w:lang w:val="ro-RO"/>
        </w:rPr>
        <w:t xml:space="preserve"> reprezintă totalitatea documentelor administrative şi este gestionat de unitatea/unităţile de învăţământ în calitate de angajator/angajatori, conform prevederilor Hotărârii Guvernului nr. </w:t>
      </w:r>
      <w:r>
        <w:rPr>
          <w:rFonts w:ascii="Times New Roman"/>
          <w:b w:val="false"/>
          <w:i w:val="false"/>
          <w:color w:val="1b1b1b"/>
          <w:sz w:val="24"/>
          <w:lang w:val="ro-RO"/>
        </w:rPr>
        <w:t>295/2025</w:t>
      </w:r>
      <w:r>
        <w:rPr>
          <w:rFonts w:ascii="Times New Roman"/>
          <w:b w:val="false"/>
          <w:i w:val="false"/>
          <w:color w:val="000000"/>
          <w:sz w:val="24"/>
          <w:lang w:val="ro-RO"/>
        </w:rPr>
        <w:t xml:space="preserve"> privind Registrul general de evidenţă a salariaţilor - REGES-ONLINE, cu modificările ulterioare, coroborate cu prevederile art. 40 alin. (2) lit. h) şi i) din Legea nr. </w:t>
      </w:r>
      <w:r>
        <w:rPr>
          <w:rFonts w:ascii="Times New Roman"/>
          <w:b w:val="false"/>
          <w:i w:val="false"/>
          <w:color w:val="1b1b1b"/>
          <w:sz w:val="24"/>
          <w:lang w:val="ro-RO"/>
        </w:rPr>
        <w:t>53/2003</w:t>
      </w:r>
      <w:r>
        <w:rPr>
          <w:rFonts w:ascii="Times New Roman"/>
          <w:b w:val="false"/>
          <w:i w:val="false"/>
          <w:color w:val="000000"/>
          <w:sz w:val="24"/>
          <w:lang w:val="ro-RO"/>
        </w:rPr>
        <w:t xml:space="preserve"> - </w:t>
      </w:r>
      <w:r>
        <w:rPr>
          <w:rFonts w:ascii="Times New Roman"/>
          <w:b w:val="false"/>
          <w:i w:val="false"/>
          <w:color w:val="1b1b1b"/>
          <w:sz w:val="24"/>
          <w:lang w:val="ro-RO"/>
        </w:rPr>
        <w:t>Codul muncii</w:t>
      </w:r>
      <w:r>
        <w:rPr>
          <w:rFonts w:ascii="Times New Roman"/>
          <w:b w:val="false"/>
          <w:i w:val="false"/>
          <w:color w:val="000000"/>
          <w:sz w:val="24"/>
          <w:lang w:val="ro-RO"/>
        </w:rPr>
        <w:t>, republicată, cu modificările şi completările ulterioare, care reglementează obligaţiile angajatorului în raport cu documentele angajatului;</w:t>
      </w:r>
    </w:p>
    <w:p>
      <w:pPr>
        <w:spacing w:after="0"/>
        <w:ind w:left="0"/>
        <w:jc w:val="left"/>
        <w:textAlignment w:val="auto"/>
      </w:pPr>
      <w:r>
        <w:rPr>
          <w:rFonts w:ascii="Times New Roman"/>
          <w:b w:val="false"/>
          <w:i w:val="false"/>
          <w:color w:val="000000"/>
          <w:sz w:val="24"/>
          <w:lang w:val="ro-RO"/>
        </w:rPr>
        <w:t>e)</w:t>
      </w:r>
      <w:r>
        <w:rPr>
          <w:rFonts w:ascii="Times New Roman"/>
          <w:b w:val="false"/>
          <w:i/>
          <w:color w:val="000000"/>
          <w:sz w:val="24"/>
          <w:lang w:val="ro-RO"/>
        </w:rPr>
        <w:t>profilul şi standardele profesionale ale cadrului didactic din învăţământul preuniversitar, pe etape de carieră şi pe niveluri de învăţământ</w:t>
      </w:r>
      <w:r>
        <w:rPr>
          <w:rFonts w:ascii="Times New Roman"/>
          <w:b w:val="false"/>
          <w:i w:val="false"/>
          <w:color w:val="000000"/>
          <w:sz w:val="24"/>
          <w:lang w:val="ro-RO"/>
        </w:rPr>
        <w:t xml:space="preserve"> reprezintă ansamblul de competenţe necesare pentru exercitarea profesiei didactice, cu valoare instrumentală pentru formarea iniţială şi continuă şi pentru managementul în cariera didactică, stabilit prin Ordinul ministrului educaţiei nr. </w:t>
      </w:r>
      <w:r>
        <w:rPr>
          <w:rFonts w:ascii="Times New Roman"/>
          <w:b w:val="false"/>
          <w:i w:val="false"/>
          <w:color w:val="1b1b1b"/>
          <w:sz w:val="24"/>
          <w:lang w:val="ro-RO"/>
        </w:rPr>
        <w:t>7.386/2024</w:t>
      </w:r>
      <w:r>
        <w:rPr>
          <w:rFonts w:ascii="Times New Roman"/>
          <w:b w:val="false"/>
          <w:i w:val="false"/>
          <w:color w:val="000000"/>
          <w:sz w:val="24"/>
          <w:lang w:val="ro-RO"/>
        </w:rPr>
        <w:t xml:space="preserve"> pentru aprobarea Profilului şi standardelor profesionale ale cadrului didactic din învăţământul preuniversitar, pe etape de carieră şi pe niveluri de învăţământ;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 xml:space="preserve">prin </w:t>
      </w:r>
      <w:r>
        <w:rPr>
          <w:rFonts w:ascii="Times New Roman"/>
          <w:b w:val="false"/>
          <w:i/>
          <w:color w:val="000000"/>
          <w:sz w:val="24"/>
          <w:lang w:val="ro-RO"/>
        </w:rPr>
        <w:t>cadru didactic</w:t>
      </w:r>
      <w:r>
        <w:rPr>
          <w:rFonts w:ascii="Times New Roman"/>
          <w:b w:val="false"/>
          <w:i w:val="false"/>
          <w:color w:val="000000"/>
          <w:sz w:val="24"/>
          <w:lang w:val="ro-RO"/>
        </w:rPr>
        <w:t xml:space="preserve"> se înţelege atât personalul didactic de predare, cât şi personalul didactic de conducere, de îndrumare şi control din învăţământul preuniversitar.</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(1)</w:t>
      </w:r>
      <w:r>
        <w:rPr>
          <w:rFonts w:ascii="Times New Roman"/>
          <w:b w:val="false"/>
          <w:i/>
          <w:color w:val="000000"/>
          <w:sz w:val="24"/>
          <w:lang w:val="ro-RO"/>
        </w:rPr>
        <w:t>Elaborarea portofoliului</w:t>
      </w:r>
      <w:r>
        <w:rPr>
          <w:rFonts w:ascii="Times New Roman"/>
          <w:b w:val="false"/>
          <w:i w:val="false"/>
          <w:color w:val="000000"/>
          <w:sz w:val="24"/>
          <w:lang w:val="ro-RO"/>
        </w:rPr>
        <w:t xml:space="preserve"> reprezintă procesul sistematic de colectare, organizare, structurare şi prezentare a documentelor şi materialelor care atestă activitatea profesională şi dezvoltarea competenţelor cadrului didactic.</w:t>
      </w:r>
    </w:p>
    <w:p>
      <w:pPr>
        <w:spacing w:before="26" w:after="0"/>
        <w:ind w:left="0"/>
        <w:jc w:val="left"/>
        <w:textAlignment w:val="auto"/>
      </w:pPr>
      <w:r>
        <w:rPr>
          <w:rFonts w:ascii="Times New Roman"/>
          <w:b w:val="false"/>
          <w:i w:val="false"/>
          <w:color w:val="000000"/>
          <w:sz w:val="24"/>
          <w:lang w:val="ro-RO"/>
        </w:rPr>
        <w:t>(2)</w:t>
      </w:r>
      <w:r>
        <w:rPr>
          <w:rFonts w:ascii="Times New Roman"/>
          <w:b w:val="false"/>
          <w:i/>
          <w:color w:val="000000"/>
          <w:sz w:val="24"/>
          <w:lang w:val="ro-RO"/>
        </w:rPr>
        <w:t>Gestionarea portofoliului</w:t>
      </w:r>
      <w:r>
        <w:rPr>
          <w:rFonts w:ascii="Times New Roman"/>
          <w:b w:val="false"/>
          <w:i w:val="false"/>
          <w:color w:val="000000"/>
          <w:sz w:val="24"/>
          <w:lang w:val="ro-RO"/>
        </w:rPr>
        <w:t xml:space="preserve"> reprezintă un proces continuu pentru organizarea, analizarea, actualizarea şi verificarea conformităţii conţinutului portofoliului cu cerinţele legislative, realizată la nivel individual de cadrul didactic care a elaborat portofoliul profesional, respectiv la nivel instituţional, pentru toate portofoliile profesionale ale cadrelor didactice din unitatea de învăţământ preuniversitar.</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Portofoliul profesional este evaluat/valorificat în situaţii precum:</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examenul naţional de definitivare în sistemul de învăţământ preuniversitar, conform art. 248 alin. (6) din Legea învăţământului preuniversitar nr. </w:t>
      </w:r>
      <w:r>
        <w:rPr>
          <w:rFonts w:ascii="Times New Roman"/>
          <w:b w:val="false"/>
          <w:i w:val="false"/>
          <w:color w:val="1b1b1b"/>
          <w:sz w:val="24"/>
          <w:lang w:val="ro-RO"/>
        </w:rPr>
        <w:t>198/2023</w:t>
      </w:r>
      <w:r>
        <w:rPr>
          <w:rFonts w:ascii="Times New Roman"/>
          <w:b w:val="false"/>
          <w:i w:val="false"/>
          <w:color w:val="000000"/>
          <w:sz w:val="24"/>
          <w:lang w:val="ro-RO"/>
        </w:rPr>
        <w:t xml:space="preserve">, cu modificările şi completările ulterioare/examenul naţional de licenţiere în cariera didactică, potrivit art. 174 din Legea nr. </w:t>
      </w:r>
      <w:r>
        <w:rPr>
          <w:rFonts w:ascii="Times New Roman"/>
          <w:b w:val="false"/>
          <w:i w:val="false"/>
          <w:color w:val="1b1b1b"/>
          <w:sz w:val="24"/>
          <w:lang w:val="ro-RO"/>
        </w:rPr>
        <w:t>198/2023</w:t>
      </w:r>
      <w:r>
        <w:rPr>
          <w:rFonts w:ascii="Times New Roman"/>
          <w:b w:val="false"/>
          <w:i w:val="false"/>
          <w:color w:val="000000"/>
          <w:sz w:val="24"/>
          <w:lang w:val="ro-RO"/>
        </w:rPr>
        <w:t>, cu modificările şi completările ulterioare, pentru cadrele didactice debutante;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 xml:space="preserve">examenul de acordare a gradului didactic II, conform art. 185 alin. (5) din Legea nr. </w:t>
      </w:r>
      <w:r>
        <w:rPr>
          <w:rFonts w:ascii="Times New Roman"/>
          <w:b w:val="false"/>
          <w:i w:val="false"/>
          <w:color w:val="1b1b1b"/>
          <w:sz w:val="24"/>
          <w:lang w:val="ro-RO"/>
        </w:rPr>
        <w:t>198/2023</w:t>
      </w:r>
      <w:r>
        <w:rPr>
          <w:rFonts w:ascii="Times New Roman"/>
          <w:b w:val="false"/>
          <w:i w:val="false"/>
          <w:color w:val="000000"/>
          <w:sz w:val="24"/>
          <w:lang w:val="ro-RO"/>
        </w:rPr>
        <w:t xml:space="preserve">, cu modificările şi completările ulterioare, respectiv examenul de acordare a gradului didactic I, conform art. 185 alin. (8) din Legea nr. </w:t>
      </w:r>
      <w:r>
        <w:rPr>
          <w:rFonts w:ascii="Times New Roman"/>
          <w:b w:val="false"/>
          <w:i w:val="false"/>
          <w:color w:val="1b1b1b"/>
          <w:sz w:val="24"/>
          <w:lang w:val="ro-RO"/>
        </w:rPr>
        <w:t>198/2023</w:t>
      </w:r>
      <w:r>
        <w:rPr>
          <w:rFonts w:ascii="Times New Roman"/>
          <w:b w:val="false"/>
          <w:i w:val="false"/>
          <w:color w:val="000000"/>
          <w:sz w:val="24"/>
          <w:lang w:val="ro-RO"/>
        </w:rPr>
        <w:t>, cu modificările şi completările ulterioare;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evaluarea performanţelor profesionale, finalizată prin acordarea calificativului anual/parţial, care se realizează, în baza prevederilor metodologiei în vigoare, pentru toate cadrele didactice dintr-o unitate de învăţământ preuniversitar;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cadrul etapelor de mobilitate a personalului didactic de predare, se realizează conform metodologiei-cadru privind mobilitatea personalului didactic de predare din învăţământul preuniversitar în vigoare;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monitorizarea stadiului dezvoltării profesionale şi verificarea îndeplinirii condiţiei de formare în cariera didactică, realizată conform prevederilor legale privind operaţionalizarea reglementărilor metodologice;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 xml:space="preserve">în cadrul inspecţiilor şcolare (generale, tematice şi de specialitate) realizate de inspectoratul şcolar judeţean/Inspectoratul Şcolar al Municipiului Bucureşti, denumit în continuare </w:t>
      </w:r>
      <w:r>
        <w:rPr>
          <w:rFonts w:ascii="Times New Roman"/>
          <w:b w:val="false"/>
          <w:i/>
          <w:color w:val="000000"/>
          <w:sz w:val="24"/>
          <w:lang w:val="ro-RO"/>
        </w:rPr>
        <w:t>inspectorat şcolar</w:t>
      </w:r>
      <w:r>
        <w:rPr>
          <w:rFonts w:ascii="Times New Roman"/>
          <w:b w:val="false"/>
          <w:i w:val="false"/>
          <w:color w:val="000000"/>
          <w:sz w:val="24"/>
          <w:lang w:val="ro-RO"/>
        </w:rPr>
        <w:t>, conform metodologiei specifice;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în cadrul evaluării externe a calităţii educaţiei în învăţământul preuniversitar realizate de Agenţia Română de Asigurare a Calităţii în Învăţământul Preuniversitar, conform metodologiei de evaluare instituţională în vederea autorizării, acreditării şi evaluării periodice a organizaţiilor furnizoare de educaţie în vigoare;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acordarea unor gradaţii, distincţii şi/sau premii prevăzute de legislaţia în vigoare;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alte situaţii prevăzute de legislaţia în vigoare.</w:t>
      </w: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Elaborarea şi gestionarea portofoliului profesional</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La începutul fiecărui an şcolar, conform calendarului stabilit la nivelul unităţii de învăţământ, fiecare cadru didactic realizează portofoliul profesional prin elaborare iniţială ori prin completare, după caz.</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Conducerea unităţii de învăţământ stabileşte cadrul procedural pentru elaborarea şi păstrarea portofoliilor şi asigură îndrumarea metodologică şi consilierea tuturor cadrelor didactice din unitate.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Elaborarea şi actualizarea permanentă a portofoliului profesional sunt responsabilitatea exclusivă a fiecărui cadru didactic.</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Elaborarea şi actualizarea portofoliului profesional se realizează de toate cadrele didactice încadrate în unităţile de învăţământ preuniversitar, unităţile de educaţie extraşcolară, casele corpului didactic, centrele de resurse şi asistenţă educaţională.</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6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Portofoliul profesional se structurează în următoarele secţiuni, conform anexei nr. 1, respectiv:</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date personale şi de identificare profesională;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activitate specifică normei didactice de predare-învăţare-evaluare;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activităţi complementare procesului de învăţământ;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activităţi de management al clasei;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evoluţia în cariera didactică şi dezvoltarea profesională.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Lista documentelor din anexa nr. 1, care pot constitui portofoliul profesional, este orientativă, minimală, nu este limitativă şi se adaptează în funcţie de statutul cadrului didactic, etapa în carieră şi nivelul de învăţământ.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Fiecare portofoliu profesional trebuie să conţină un opis care se actualizează şi se datează ori de câte ori se adaugă documente în portofoliul profesional sau se elimină documente din portofoliul profesional. În cazul portofoliului digital, unitatea de învăţământ poate utiliza instrumente de indexare automată sau directoare partajate care să înlocuiască opisul letric, cu condiţia datării fiecărei încărcări a unui document.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Documentele se organizează în cadrul fiecărei secţiuni, respectând strict criteriul cronologic al dobândirii acestora.</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Portofoliul profesional, indiferent de formatul utilizat, trebuie să fie: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organizat clar şi accesibil verificării;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disponibil pentru analiză şi evaluare.</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Gestionarea portofoliului profesional se realizează pe două niveluri: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individual - de cadrul didactic care are obligativitatea întocmirii portofoliului, actualizării conţinutului, asigurării calităţii şi relevanţei documentaţiei introduse şi verificării conformităţii cu cerinţele metodologice;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instituţional - de unitatea de învăţământ sau de inspectoratul şcolar, în funcţie de contextele prevăzute la art. 4, reglementate prin legislaţia specifică.</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Dosarul personal şi portofoliul profesional conţin documente distincte şi complementare.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Documentele cu caracter administrativ rezultate din evaluare sau formare continuă se introduc în dosarul personal, conform prevederilor legale în vigoare.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urma evaluării anuale/parţiale, rezultatul evaluării (fişa de evaluare semnată şi adresa de comunicare a rezultatului evaluării) se introduce în dosarul personal.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Materialele didactice, proiectele de lecţie, instrumentele de evaluare şi altele asemenea nu se includ în dosarul personal, acestea rămânând parte a portofoliului profesional.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Dintre documentele portofoliului profesional care atestă formarea continuă se introduc în dosarul personal doar copii ale diplomelor/certificatelor obţinute, adeverinţele privind acumularea creditelor şi deciziile administrative rezultate din activitatea de formare continuă.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Directorul unităţii de învăţământ asigură introducerea în dosarul personal a documentelor cu caracter administrativ rezultate din evaluare sau din analiza formării continue a fiecărui cadru didactic.</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consiliul profesoral al unităţii de învăţământ se hotărăşte dacă documentele obligatorii din dosarul personal se introduc separat şi în portofoliul profesional sau dacă documentele specifice dosarului personal se depun doar în acesta, situaţie în care gestionarea instituţională a portofoliului profesional prevăzută la art. 7 lit. b) vizează şi documentele din dosarul personal.</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au obligaţia să introducă în componenţa portofoliului profesional doar documente care reflectă/atestă în mod real activitatea proprie.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Introducerea în portofoliu profesional a unor date sau documente nereale sau falsificate atrage răspunderea disciplinară, civilă şi, după caz, penală, în conformitate cu legislaţia incidentă privind falsul în înscrisuri.</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Cadrele didactice de predare, de conducere, îndrumare şi control depun portofoliul profesional la unitatea de învăţământ în care au încheiat contract individual de muncă pe perioadă nedeterminată. Personalul didactic de predare angajat pe durata de viabilitate a postului sau pe durata de un an depune portofoliul profesional la unitatea în care este încadrat în anul şcolar respectiv.</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excepţie de la prevederile alin. (1), cadrele didactice detaşate în altă unitate de învăţământ depun portofoliul profesional la unitatea în care sunt încadrate în anul şcolar respectiv. Unitatea de învăţământ în care cadrul didactic este angajat cu contract individual de muncă pentru perioadă nedeterminată poate solicita portofoliul profesional în format digital de la unitatea de învăţământ în care cadrul didactic este detaşat.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Personalul didactic de predare care desfăşoară activitatea didactică în mai multe unităţi de învăţământ depune portofoliul profesional, de regulă, la unitatea de învăţământ în care are cel mai mare număr de ore în încadrare, informând în scris celelalte unităţi. Celelalte unităţi de învăţământ în care cadrul didactic îşi desfăşoară activitatea pot solicita portofoliul profesional de la unitatea de învăţământ unde a fost depus.</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Personalul didactic de predare cu statut de pensionar şi cel cu statut de asociat nu au obligaţia depunerii portofoliului profesional.</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Portofoliul profesional se păstrează în unitatea de învăţământ în format fizic (letric) sau în format digital, conform prevederilor procedurii prevăzute la art. 13.</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Dacă unitatea de învăţământ optează pentru realizarea portofoliului digital şi arhivarea digitală a portofoliului digital, procedura proprie trebuie să stabilească formatele agreate pentru documentele electronice, precum şi procesul de transfer din mediul de activitate curentă în arhiva electronică.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Unitatea de învăţământ arhivează, fizic sau digital, portofoliul profesional al cadrului didactic timp de 3 ani de la încetarea activităţii cadrului didactic în unitatea de învăţământ respectivă.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solicitarea scrisă a cadrului didactic, unitatea de învăţământ eliberează portofoliul profesional.</w:t>
      </w: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Dispoziţii tranzitorii şi finale</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Activităţile de gestionare instituţională a portofoliilor profesionale ale personalului didactic de predare, de conducere, îndrumare şi control se realizează cu respectarea prevederilor directivelor Uniunii Europene privind securitatea cibernetică şi prelucrarea datelor cu caracter personal, cuprinse în Regulamentul (UE) </w:t>
      </w:r>
      <w:r>
        <w:rPr>
          <w:rFonts w:ascii="Times New Roman"/>
          <w:b w:val="false"/>
          <w:i w:val="false"/>
          <w:color w:val="1b1b1b"/>
          <w:sz w:val="24"/>
          <w:lang w:val="ro-RO"/>
        </w:rPr>
        <w:t>2016/679</w:t>
      </w:r>
      <w:r>
        <w:rPr>
          <w:rFonts w:ascii="Times New Roman"/>
          <w:b w:val="false"/>
          <w:i w:val="false"/>
          <w:color w:val="000000"/>
          <w:sz w:val="24"/>
          <w:lang w:val="ro-RO"/>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rFonts w:ascii="Times New Roman"/>
          <w:b w:val="false"/>
          <w:i w:val="false"/>
          <w:color w:val="1b1b1b"/>
          <w:sz w:val="24"/>
          <w:lang w:val="ro-RO"/>
        </w:rPr>
        <w:t>95/46/CE</w:t>
      </w:r>
      <w:r>
        <w:rPr>
          <w:rFonts w:ascii="Times New Roman"/>
          <w:b w:val="false"/>
          <w:i w:val="false"/>
          <w:color w:val="000000"/>
          <w:sz w:val="24"/>
          <w:lang w:val="ro-RO"/>
        </w:rPr>
        <w:t xml:space="preserve"> (Regulamentul general privind protecţia datelor), şi cu respectarea legislaţiei specifice privind regimul proprietăţii intelectuale şi secretul profesional în întreaga activitate pe care o desfăşoară.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Portofoliul profesional depus la unitatea de învăţământ este însoţit de o declaraţie ce include consimţământul pentru prelucrarea datelor cu caracter personal şi declaraţia pe proprie răspundere prin care se confirmă că documentele depuse în dosar sunt copii ale documentelor autentice şi aparţin cadrului didactic, conform modelului prevăzut în anexa nr. 2.</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implementarea prevederilor prezentei metodologii, la nivelul fiecărei unităţi de învăţământ cu personalitate juridică se elaborează o procedură proprie, aprobată de consiliul de administraţie, în termen de maximum 60 de zile de la intrarea în vigoare a prezentei metodologii-cadru. Procedura reglementează aspecte precum: unde se depun portofoliile profesionale; modalitatea de depunere a dosarelor, fizic sau digital; calendarul de depunere/actualizare; persoanele care au acces la portofoliile profesionale; persoanele desemnate şi modalităţile de gestionare, păstrare şi de arhivare a portofoliilor profesionale; calendare intermediare; integrarea cu platformele digitale instituţionale şi/sau alte aspecte.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Procedura prevăzută la alin. (1) trebuie să fie în concordanţă cu prevederile prezentei metodologii, cu hotărârea consiliului profesoral prevăzută la art. 8 alin. (7) şi cu reglementările legale în vigoare, asigurând totodată flexibilitatea necesară adaptării la specificul instituţional.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Unităţile de învăţământ special, unităţile de educaţie extraşcolară, casele corpului didactic, centrele de resurse şi asistenţă educaţională pot adapta la specificul instituţional, prin procedură proprie, atât structura şi conţinutul portofoliului profesional prevăzute în anexa nr. 1, cât şi aspectele prevăzute la alin. (1).</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Procedura se aduce la cunoştinţa întregului personal didactic şi se publică pe site-ul unităţii de învăţământ/instituţiei pentru asigurarea transparenţei şi a accesibilităţii.</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14 </w:t>
      </w:r>
    </w:p>
    <w:p>
      <w:pPr>
        <w:spacing w:after="0"/>
        <w:ind w:left="0"/>
        <w:jc w:val="left"/>
        <w:textAlignment w:val="auto"/>
      </w:pPr>
      <w:r>
        <w:rPr>
          <w:rFonts w:ascii="Times New Roman"/>
          <w:b w:val="false"/>
          <w:i w:val="false"/>
          <w:color w:val="000000"/>
          <w:sz w:val="24"/>
          <w:lang w:val="ro-RO"/>
        </w:rPr>
        <w:t>Cadrele didactice de predare, de conducere, îndrumare şi control au obligaţia structurării, completării şi depunerii portofoliului profesional în conformitate cu prevederile art. 6, ale anexei nr. 1 şi ale procedurii prevăzute la art. 13, începând cu anul şcolar 2026-2027.</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15 </w:t>
      </w:r>
    </w:p>
    <w:p>
      <w:pPr>
        <w:spacing w:after="0"/>
        <w:ind w:left="0"/>
        <w:jc w:val="left"/>
        <w:textAlignment w:val="auto"/>
      </w:pPr>
      <w:r>
        <w:rPr>
          <w:rFonts w:ascii="Times New Roman"/>
          <w:b w:val="false"/>
          <w:i w:val="false"/>
          <w:color w:val="000000"/>
          <w:sz w:val="24"/>
          <w:lang w:val="ro-RO"/>
        </w:rPr>
        <w:t>În cuprinsul prezentei metodologii, începând cu data reorganizării instituţiilor aflate în coordonarea/subordonarea Ministerului Educaţiei şi Cercetării: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denumirea "Agenţia Română de Asigurare a Calităţii în Învăţământul Preuniversitar" se modifică şi se înlocuieşte cu denumirea "Agenţia Română pentru Asigurarea Calităţii şi Inspecţie în Învăţământul Preuniversitar";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denumirea "inspectoratul şcolar judeţean/Inspectoratul Şcolar al Municipiului Bucureşti" se modifică şi se înlocuieşte cu denumirea "direcţia judeţeană de învăţământ preuniversitar/Direcţia Municipiului Bucureşti de Învăţământ Preuniversitar";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denumirea "casa corpului didactic" se modifică şi se înlocuieşte cu denumirea "centrul pentru cariera didactică".</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16 </w:t>
      </w:r>
    </w:p>
    <w:p>
      <w:pPr>
        <w:spacing w:after="0"/>
        <w:ind w:left="0"/>
        <w:jc w:val="left"/>
        <w:textAlignment w:val="auto"/>
      </w:pPr>
      <w:r>
        <w:rPr>
          <w:rFonts w:ascii="Times New Roman"/>
          <w:b w:val="false"/>
          <w:i w:val="false"/>
          <w:color w:val="000000"/>
          <w:sz w:val="24"/>
          <w:lang w:val="ro-RO"/>
        </w:rPr>
        <w:t>Anexele nr. 1 şi 2 fac parte integrantă din prezenta metodologie.</w:t>
      </w: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ANEXA nr. 1:</w:t>
      </w:r>
      <w:r>
        <w:rPr>
          <w:rFonts w:ascii="Times New Roman"/>
          <w:b/>
          <w:i w:val="false"/>
          <w:color w:val="000000"/>
          <w:sz w:val="24"/>
          <w:lang w:val="ro-RO"/>
        </w:rPr>
        <w:t>STRUCTURA-CADRU a portofoliului profesional al cadrului didactic</w:t>
      </w:r>
    </w:p>
    <w:p>
      <w:pPr>
        <w:spacing w:before="26" w:after="240"/>
        <w:ind w:left="0"/>
        <w:jc w:val="left"/>
        <w:textAlignment w:val="auto"/>
      </w:pPr>
      <w:r>
        <w:rPr>
          <w:rFonts w:ascii="Times New Roman"/>
          <w:b w:val="false"/>
          <w:i/>
          <w:color w:val="000000"/>
          <w:sz w:val="24"/>
          <w:lang w:val="ro-RO"/>
        </w:rPr>
        <w:t>Document de referinţă pentru structurarea şi organizarea portofoliului profesional</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600"/>
        <w:gridCol w:w="4464"/>
        <w:gridCol w:w="6336"/>
      </w:tblGrid>
      <w:tr>
        <w:trPr>
          <w:trHeight w:val="45" w:hRule="atLeast"/>
        </w:trPr>
        <w:tc>
          <w:tcPr>
            <w:tcW w:w="3600" w:type="dxa"/>
            <w:tcBorders>
              <w:bottom w:val="single" w:color="000000" w:sz="8"/>
              <w:right w:val="single" w:color="000000" w:sz="8"/>
            </w:tcBorders>
            <w:tcMar>
              <w:top w:w="15" w:type="dxa"/>
              <w:left w:w="15" w:type="dxa"/>
              <w:bottom w:w="15" w:type="dxa"/>
              <w:right w:w="15" w:type="dxa"/>
            </w:tcMar>
            <w:vAlign w:val="center"/>
          </w:tcPr>
          <w:p>
            <w:pPr>
              <w:spacing w:before="25" w:after="0"/>
              <w:ind w:left="0"/>
              <w:jc w:val="left"/>
              <w:textAlignment w:val="auto"/>
            </w:pPr>
            <w:r>
              <w:rPr>
                <w:rFonts w:ascii="Times New Roman"/>
                <w:b w:val="false"/>
                <w:i w:val="false"/>
                <w:color w:val="000000"/>
                <w:sz w:val="24"/>
                <w:lang w:val="ro-RO"/>
              </w:rPr>
              <w:t>SECŢIUNEA</w:t>
            </w:r>
          </w:p>
        </w:tc>
        <w:tc>
          <w:tcPr>
            <w:tcW w:w="4464" w:type="dxa"/>
            <w:tcBorders>
              <w:bottom w:val="single" w:color="000000" w:sz="8"/>
              <w:right w:val="single" w:color="000000" w:sz="8"/>
            </w:tcBorders>
            <w:tcMar>
              <w:top w:w="15" w:type="dxa"/>
              <w:left w:w="15" w:type="dxa"/>
              <w:bottom w:w="15" w:type="dxa"/>
              <w:right w:w="15" w:type="dxa"/>
            </w:tcMar>
            <w:vAlign w:val="center"/>
          </w:tcPr>
          <w:p>
            <w:pPr>
              <w:spacing w:before="25" w:after="0"/>
              <w:ind w:left="0"/>
              <w:jc w:val="left"/>
              <w:textAlignment w:val="auto"/>
            </w:pPr>
            <w:r>
              <w:rPr>
                <w:rFonts w:ascii="Times New Roman"/>
                <w:b w:val="false"/>
                <w:i w:val="false"/>
                <w:color w:val="000000"/>
                <w:sz w:val="24"/>
                <w:lang w:val="ro-RO"/>
              </w:rPr>
              <w:t>COMPONENTA</w:t>
            </w:r>
          </w:p>
        </w:tc>
        <w:tc>
          <w:tcPr>
            <w:tcW w:w="6336" w:type="dxa"/>
            <w:tcBorders>
              <w:bottom w:val="single" w:color="000000" w:sz="8"/>
              <w:right w:val="single" w:color="000000" w:sz="8"/>
            </w:tcBorders>
            <w:tcMar>
              <w:top w:w="15" w:type="dxa"/>
              <w:left w:w="15" w:type="dxa"/>
              <w:bottom w:w="15" w:type="dxa"/>
              <w:right w:w="15" w:type="dxa"/>
            </w:tcMar>
            <w:vAlign w:val="center"/>
          </w:tcPr>
          <w:p>
            <w:pPr>
              <w:spacing w:before="25" w:after="0"/>
              <w:ind w:left="0"/>
              <w:jc w:val="left"/>
              <w:textAlignment w:val="auto"/>
            </w:pPr>
            <w:r>
              <w:rPr>
                <w:rFonts w:ascii="Times New Roman"/>
                <w:b w:val="false"/>
                <w:i w:val="false"/>
                <w:color w:val="000000"/>
                <w:sz w:val="24"/>
                <w:lang w:val="ro-RO"/>
              </w:rPr>
              <w:t>EXEMPLE DE DOCUMENTE CE POT FI INCLUSE ÎN PORTOFOLIU</w:t>
            </w:r>
          </w:p>
        </w:tc>
      </w:tr>
      <w:tr>
        <w:trPr>
          <w:trHeight w:val="45" w:hRule="atLeast"/>
        </w:trPr>
        <w:tc>
          <w:tcPr>
            <w:tcW w:w="3600"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a) Date personale şi de identificare profesională</w:t>
            </w: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1. Curriculum vitae</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Curriculum vitae Europass completat, semnat şi datat</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2. Date de identificare</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Carte de identitate (copie)</w:t>
            </w:r>
          </w:p>
          <w:p>
            <w:pPr>
              <w:spacing w:before="25" w:after="0"/>
              <w:ind w:left="0"/>
              <w:jc w:val="left"/>
              <w:textAlignment w:val="auto"/>
            </w:pPr>
            <w:r>
              <w:rPr>
                <w:rFonts w:ascii="Times New Roman"/>
                <w:b w:val="false"/>
                <w:i w:val="false"/>
                <w:color w:val="000000"/>
                <w:sz w:val="24"/>
                <w:lang w:val="ro-RO"/>
              </w:rPr>
              <w:t>- Certificat de naştere/documente privind schimbarea numelui (copii)</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3. Studii</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Diplome/Certificate de calificare profesională, certificate de competenţe profesionale privind finalizarea studiilor: liceale pedagogice, postliceale, universitare, postuniversitare sau de conversie profesională, la care se anexează foile matricole sau anexele la diplomele de studii sau la certificatele de calificare profesională, certificatele de competenţe profesionale, după caz</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4. Statut profesional (documente care atestă încadrarea, vechimea, gradul didactic şi rezultatul evaluării anuale)</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Documentul de numire/transfer repartizare pe post/catedră</w:t>
            </w:r>
          </w:p>
          <w:p>
            <w:pPr>
              <w:spacing w:before="25" w:after="0"/>
              <w:ind w:left="0"/>
              <w:jc w:val="left"/>
              <w:textAlignment w:val="auto"/>
            </w:pPr>
            <w:r>
              <w:rPr>
                <w:rFonts w:ascii="Times New Roman"/>
                <w:b w:val="false"/>
                <w:i w:val="false"/>
                <w:color w:val="000000"/>
                <w:sz w:val="24"/>
                <w:lang w:val="ro-RO"/>
              </w:rPr>
              <w:t>- Contractul individual de muncă/Acte adiţionale ale acestuia şi fişa postului aferentă funcţiei ocupate</w:t>
            </w:r>
          </w:p>
          <w:p>
            <w:pPr>
              <w:spacing w:before="25" w:after="0"/>
              <w:ind w:left="0"/>
              <w:jc w:val="left"/>
              <w:textAlignment w:val="auto"/>
            </w:pPr>
            <w:r>
              <w:rPr>
                <w:rFonts w:ascii="Times New Roman"/>
                <w:b w:val="false"/>
                <w:i w:val="false"/>
                <w:color w:val="000000"/>
                <w:sz w:val="24"/>
                <w:lang w:val="ro-RO"/>
              </w:rPr>
              <w:t>- Decizia anuală de încadrare pe post/catedră</w:t>
            </w:r>
          </w:p>
          <w:p>
            <w:pPr>
              <w:spacing w:before="25" w:after="0"/>
              <w:ind w:left="0"/>
              <w:jc w:val="left"/>
              <w:textAlignment w:val="auto"/>
            </w:pPr>
            <w:r>
              <w:rPr>
                <w:rFonts w:ascii="Times New Roman"/>
                <w:b w:val="false"/>
                <w:i w:val="false"/>
                <w:color w:val="000000"/>
                <w:sz w:val="24"/>
                <w:lang w:val="ro-RO"/>
              </w:rPr>
              <w:t>- Adeverinţe privind vechimea în învăţământ</w:t>
            </w:r>
          </w:p>
          <w:p>
            <w:pPr>
              <w:spacing w:before="25" w:after="0"/>
              <w:ind w:left="0"/>
              <w:jc w:val="left"/>
              <w:textAlignment w:val="auto"/>
            </w:pPr>
            <w:r>
              <w:rPr>
                <w:rFonts w:ascii="Times New Roman"/>
                <w:b w:val="false"/>
                <w:i w:val="false"/>
                <w:color w:val="000000"/>
                <w:sz w:val="24"/>
                <w:lang w:val="ro-RO"/>
              </w:rPr>
              <w:t>- Certificate de acordare a definitivării în învăţământ şi a gradelor didactice sau ordinul ministrului pentru acordarea gradului didactic I pe baza titlului ştiinţific de doctor</w:t>
            </w:r>
          </w:p>
          <w:p>
            <w:pPr>
              <w:spacing w:before="25" w:after="0"/>
              <w:ind w:left="0"/>
              <w:jc w:val="left"/>
              <w:textAlignment w:val="auto"/>
            </w:pPr>
            <w:r>
              <w:rPr>
                <w:rFonts w:ascii="Times New Roman"/>
                <w:b w:val="false"/>
                <w:i w:val="false"/>
                <w:color w:val="000000"/>
                <w:sz w:val="24"/>
                <w:lang w:val="ro-RO"/>
              </w:rPr>
              <w:t>- Adresă/Decizie de comunicare a calificativului anual obţinut în urma evaluării activităţii didactice</w:t>
            </w:r>
          </w:p>
          <w:p>
            <w:pPr>
              <w:spacing w:before="25" w:after="0"/>
              <w:ind w:left="0"/>
              <w:jc w:val="left"/>
              <w:textAlignment w:val="auto"/>
            </w:pPr>
            <w:r>
              <w:rPr>
                <w:rFonts w:ascii="Times New Roman"/>
                <w:b w:val="false"/>
                <w:i w:val="false"/>
                <w:color w:val="000000"/>
                <w:sz w:val="24"/>
                <w:lang w:val="ro-RO"/>
              </w:rPr>
              <w:t>- Adresă/Decizie privind acordarea gradaţiei de merit</w:t>
            </w:r>
          </w:p>
        </w:tc>
      </w:tr>
      <w:tr>
        <w:trPr>
          <w:trHeight w:val="45" w:hRule="atLeast"/>
        </w:trPr>
        <w:tc>
          <w:tcPr>
            <w:tcW w:w="3600"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b) Activitatea specifică normei didactice de predare-învăţare-evaluare</w:t>
            </w: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1. Proiectarea şi planificarea activităţilor didactice</w:t>
            </w:r>
          </w:p>
          <w:p>
            <w:pPr>
              <w:spacing w:before="25" w:after="0"/>
              <w:ind w:left="0"/>
              <w:jc w:val="left"/>
              <w:textAlignment w:val="auto"/>
            </w:pPr>
            <w:r>
              <w:rPr>
                <w:rFonts w:ascii="Times New Roman"/>
                <w:b w:val="false"/>
                <w:i w:val="false"/>
                <w:color w:val="000000"/>
                <w:sz w:val="24"/>
                <w:lang w:val="ro-RO"/>
              </w:rPr>
              <w:t>a) activităţi didactice de predare-învăţare-evaluare şi de instruire practică</w:t>
            </w:r>
          </w:p>
          <w:p>
            <w:pPr>
              <w:spacing w:before="25" w:after="0"/>
              <w:ind w:left="0"/>
              <w:jc w:val="left"/>
              <w:textAlignment w:val="auto"/>
            </w:pPr>
            <w:r>
              <w:rPr>
                <w:rFonts w:ascii="Times New Roman"/>
                <w:b w:val="false"/>
                <w:i w:val="false"/>
                <w:color w:val="000000"/>
                <w:sz w:val="24"/>
                <w:lang w:val="ro-RO"/>
              </w:rPr>
              <w:t>b) activităţi de învăţare remedială şi activităţi desfăşurate în programul "A doua şansă"</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Planificări anuale/calendaristice</w:t>
            </w:r>
          </w:p>
          <w:p>
            <w:pPr>
              <w:spacing w:before="25" w:after="0"/>
              <w:ind w:left="0"/>
              <w:jc w:val="left"/>
              <w:textAlignment w:val="auto"/>
            </w:pPr>
            <w:r>
              <w:rPr>
                <w:rFonts w:ascii="Times New Roman"/>
                <w:b w:val="false"/>
                <w:i w:val="false"/>
                <w:color w:val="000000"/>
                <w:sz w:val="24"/>
                <w:lang w:val="ro-RO"/>
              </w:rPr>
              <w:t>- Proiectarea curriculumului la decizia elevului din oferta şcolii (programă, planificare, suport de curs)</w:t>
            </w:r>
          </w:p>
          <w:p>
            <w:pPr>
              <w:spacing w:before="25" w:after="0"/>
              <w:ind w:left="0"/>
              <w:jc w:val="left"/>
              <w:textAlignment w:val="auto"/>
            </w:pPr>
            <w:r>
              <w:rPr>
                <w:rFonts w:ascii="Times New Roman"/>
                <w:b w:val="false"/>
                <w:i w:val="false"/>
                <w:color w:val="000000"/>
                <w:sz w:val="24"/>
                <w:lang w:val="ro-RO"/>
              </w:rPr>
              <w:t>- Proiecte de lecţie sau proiectarea unor secvenţe didactice reprezentative</w:t>
            </w:r>
          </w:p>
          <w:p>
            <w:pPr>
              <w:spacing w:before="25" w:after="0"/>
              <w:ind w:left="0"/>
              <w:jc w:val="left"/>
              <w:textAlignment w:val="auto"/>
            </w:pPr>
            <w:r>
              <w:rPr>
                <w:rFonts w:ascii="Times New Roman"/>
                <w:b w:val="false"/>
                <w:i w:val="false"/>
                <w:color w:val="000000"/>
                <w:sz w:val="24"/>
                <w:lang w:val="ro-RO"/>
              </w:rPr>
              <w:t>- Plan de activităţi remediale/de ameliorare</w:t>
            </w:r>
          </w:p>
          <w:p>
            <w:pPr>
              <w:spacing w:before="25" w:after="0"/>
              <w:ind w:left="0"/>
              <w:jc w:val="left"/>
              <w:textAlignment w:val="auto"/>
            </w:pPr>
            <w:r>
              <w:rPr>
                <w:rFonts w:ascii="Times New Roman"/>
                <w:b w:val="false"/>
                <w:i w:val="false"/>
                <w:color w:val="000000"/>
                <w:sz w:val="24"/>
                <w:lang w:val="ro-RO"/>
              </w:rPr>
              <w:t>- Planuri de intervenţie personalizată pentru elevii cu cerinţe educaţionale speciale</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2. Realizarea activităţilor didactice, pregătire pentru evaluări/examene naţionale şi obţinerea performanţei educaţionale şi evaluarea rezultatelor învăţării</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Fişe de lucru diferenţiate şi/sau resurse educaţionale deschise utilizate</w:t>
            </w:r>
          </w:p>
          <w:p>
            <w:pPr>
              <w:spacing w:before="25" w:after="0"/>
              <w:ind w:left="0"/>
              <w:jc w:val="left"/>
              <w:textAlignment w:val="auto"/>
            </w:pPr>
            <w:r>
              <w:rPr>
                <w:rFonts w:ascii="Times New Roman"/>
                <w:b w:val="false"/>
                <w:i w:val="false"/>
                <w:color w:val="000000"/>
                <w:sz w:val="24"/>
                <w:lang w:val="ro-RO"/>
              </w:rPr>
              <w:t>- Instrumente de evaluare (inclusiv digitale) iniţială, formativă, sumativă</w:t>
            </w:r>
          </w:p>
          <w:p>
            <w:pPr>
              <w:spacing w:before="25" w:after="0"/>
              <w:ind w:left="0"/>
              <w:jc w:val="left"/>
              <w:textAlignment w:val="auto"/>
            </w:pPr>
            <w:r>
              <w:rPr>
                <w:rFonts w:ascii="Times New Roman"/>
                <w:b w:val="false"/>
                <w:i w:val="false"/>
                <w:color w:val="000000"/>
                <w:sz w:val="24"/>
                <w:lang w:val="ro-RO"/>
              </w:rPr>
              <w:t>- Documente care atestă implicarea în organizarea şi desfăşurarea activităţilor de pregătire a elevilor pentru examenele naţionale, competiţiile şcolare şi alte forme de obţinere a performanţei educaţionale, după caz</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3. Rezultate şi impact</w:t>
            </w:r>
          </w:p>
          <w:p>
            <w:pPr>
              <w:spacing w:before="25" w:after="0"/>
              <w:ind w:left="0"/>
              <w:jc w:val="left"/>
              <w:textAlignment w:val="auto"/>
            </w:pPr>
            <w:r>
              <w:rPr>
                <w:rFonts w:ascii="Times New Roman"/>
                <w:b w:val="false"/>
                <w:i w:val="false"/>
                <w:color w:val="000000"/>
                <w:sz w:val="24"/>
                <w:lang w:val="ro-RO"/>
              </w:rPr>
              <w:t>- evaluarea naţională clasa a II-a/clasa a IV-a/clasa a VI-a/clasa a VIII-a, bacalaureat, examene de certificare a competenţelor profesionale</w:t>
            </w:r>
          </w:p>
          <w:p>
            <w:pPr>
              <w:spacing w:before="25" w:after="0"/>
              <w:ind w:left="0"/>
              <w:jc w:val="left"/>
              <w:textAlignment w:val="auto"/>
            </w:pPr>
            <w:r>
              <w:rPr>
                <w:rFonts w:ascii="Times New Roman"/>
                <w:b w:val="false"/>
                <w:i w:val="false"/>
                <w:color w:val="000000"/>
                <w:sz w:val="24"/>
                <w:lang w:val="ro-RO"/>
              </w:rPr>
              <w:t>- competiţii şcolare</w:t>
            </w:r>
          </w:p>
          <w:p>
            <w:pPr>
              <w:spacing w:before="25" w:after="0"/>
              <w:ind w:left="0"/>
              <w:jc w:val="left"/>
              <w:textAlignment w:val="auto"/>
            </w:pPr>
            <w:r>
              <w:rPr>
                <w:rFonts w:ascii="Times New Roman"/>
                <w:b w:val="false"/>
                <w:i w:val="false"/>
                <w:color w:val="000000"/>
                <w:sz w:val="24"/>
                <w:lang w:val="ro-RO"/>
              </w:rPr>
              <w:t>- activităţi remediale</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Tabele cu rezultate la examene naţionale sau la competiţii şcolare</w:t>
            </w:r>
          </w:p>
          <w:p>
            <w:pPr>
              <w:spacing w:before="25" w:after="0"/>
              <w:ind w:left="0"/>
              <w:jc w:val="left"/>
              <w:textAlignment w:val="auto"/>
            </w:pPr>
            <w:r>
              <w:rPr>
                <w:rFonts w:ascii="Times New Roman"/>
                <w:b w:val="false"/>
                <w:i w:val="false"/>
                <w:color w:val="000000"/>
                <w:sz w:val="24"/>
                <w:lang w:val="ro-RO"/>
              </w:rPr>
              <w:t>- Diplome obţinute la competiţii şcolare de elevii pregătiţi</w:t>
            </w:r>
          </w:p>
          <w:p>
            <w:pPr>
              <w:spacing w:before="25" w:after="0"/>
              <w:ind w:left="0"/>
              <w:jc w:val="left"/>
              <w:textAlignment w:val="auto"/>
            </w:pPr>
            <w:r>
              <w:rPr>
                <w:rFonts w:ascii="Times New Roman"/>
                <w:b w:val="false"/>
                <w:i w:val="false"/>
                <w:color w:val="000000"/>
                <w:sz w:val="24"/>
                <w:lang w:val="ro-RO"/>
              </w:rPr>
              <w:t>- Centralizator parcurs/evoluţie elevi care au participat la activităţi remediale</w:t>
            </w:r>
          </w:p>
        </w:tc>
      </w:tr>
      <w:tr>
        <w:trPr>
          <w:trHeight w:val="45" w:hRule="atLeast"/>
        </w:trPr>
        <w:tc>
          <w:tcPr>
            <w:tcW w:w="3600"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c) Activităţi complementare procesului de învăţământ</w:t>
            </w: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1. Activitate în cadrul unor comisii, structuri de decizie, parteneriate educaţionale/instituţionale (la nivelul unităţii de învăţământ, nivel judeţean/naţional/internaţional)</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Dovezi ale calităţii de preşedinte/vicepreşedinte/secretar/membru în: consiliu consultativ, asociaţii profesionale, comisii de organizare şi de desfăşurare a examenelor naţionale pentru elevi, competiţiilor şcolare, concursurilor de ocupare a posturilor didactice, examenului naţional de definitivare în învăţământ</w:t>
            </w:r>
          </w:p>
          <w:p>
            <w:pPr>
              <w:spacing w:before="25" w:after="0"/>
              <w:ind w:left="0"/>
              <w:jc w:val="left"/>
              <w:textAlignment w:val="auto"/>
            </w:pPr>
            <w:r>
              <w:rPr>
                <w:rFonts w:ascii="Times New Roman"/>
                <w:b w:val="false"/>
                <w:i w:val="false"/>
                <w:color w:val="000000"/>
                <w:sz w:val="24"/>
                <w:lang w:val="ro-RO"/>
              </w:rPr>
              <w:t>- Dovezi ale calităţii de metodist al inspectoratului şcolar sau de membru în colective de elaborare a programelor şcolare, manualelor, metodologiilor, regulamentelor, ghidurilor şi a altor acte normative</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2. Activităţi extracurriculare</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Documente de planificare, organizare, implementare/participare la diverse tipuri de activităţi extracurriculare: cultural-artistice, sportive, de voluntariat, civic-sociale, ecologice şi de mediu, de educaţie nonformală, excursii şi vizite educative etc.</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3. Activităţi în cadrul programelor şi proiectelor naţionale (săptămâna Şcoala altfel, programul Masă sănătoasă, programul Şcoală după şcoală, programul Grădiniţa/Şcoala de vară/estivală, alte proiecte derulate la nivelul unităţii de învăţământ)</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Documente de planificare, organizare, implementare/participare în cadrul unor programe şi proiecte naţionale derulate în unitatea de învăţământ</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4. Activităţi de promovare a imaginii şcolii</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Documente care atestă participarea la elaborarea şi diseminarea ofertei educaţionale a şcolii sau la târguri educaţionale</w:t>
            </w:r>
          </w:p>
        </w:tc>
      </w:tr>
      <w:tr>
        <w:trPr>
          <w:trHeight w:val="45" w:hRule="atLeast"/>
        </w:trPr>
        <w:tc>
          <w:tcPr>
            <w:tcW w:w="3600"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d) Activităţi de management al clasei</w:t>
            </w: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1. Cunoaşterea şi evidenţa elevilor</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Fişe psihopedagogice ale elevilor</w:t>
            </w:r>
          </w:p>
          <w:p>
            <w:pPr>
              <w:spacing w:before="25" w:after="0"/>
              <w:ind w:left="0"/>
              <w:jc w:val="left"/>
              <w:textAlignment w:val="auto"/>
            </w:pPr>
            <w:r>
              <w:rPr>
                <w:rFonts w:ascii="Times New Roman"/>
                <w:b w:val="false"/>
                <w:i w:val="false"/>
                <w:color w:val="000000"/>
                <w:sz w:val="24"/>
                <w:lang w:val="ro-RO"/>
              </w:rPr>
              <w:t>- Evidenţa elevilor cu nevoi de sprijin</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2. Activităţi de consiliere şi sprijin pentru elevi</w:t>
            </w:r>
          </w:p>
          <w:p>
            <w:pPr>
              <w:spacing w:before="25" w:after="0"/>
              <w:ind w:left="0"/>
              <w:jc w:val="left"/>
              <w:textAlignment w:val="auto"/>
            </w:pPr>
            <w:r>
              <w:rPr>
                <w:rFonts w:ascii="Times New Roman"/>
                <w:b w:val="false"/>
                <w:i w:val="false"/>
                <w:color w:val="000000"/>
                <w:sz w:val="24"/>
                <w:lang w:val="ro-RO"/>
              </w:rPr>
              <w:t>- consilierea individuală pentru elevi cu risc de abandon şcolar</w:t>
            </w:r>
          </w:p>
          <w:p>
            <w:pPr>
              <w:spacing w:before="25" w:after="0"/>
              <w:ind w:left="0"/>
              <w:jc w:val="left"/>
              <w:textAlignment w:val="auto"/>
            </w:pPr>
            <w:r>
              <w:rPr>
                <w:rFonts w:ascii="Times New Roman"/>
                <w:b w:val="false"/>
                <w:i w:val="false"/>
                <w:color w:val="000000"/>
                <w:sz w:val="24"/>
                <w:lang w:val="ro-RO"/>
              </w:rPr>
              <w:t>- activităţi de prevenire a absenteismului</w:t>
            </w:r>
          </w:p>
          <w:p>
            <w:pPr>
              <w:spacing w:before="25" w:after="0"/>
              <w:ind w:left="0"/>
              <w:jc w:val="left"/>
              <w:textAlignment w:val="auto"/>
            </w:pPr>
            <w:r>
              <w:rPr>
                <w:rFonts w:ascii="Times New Roman"/>
                <w:b w:val="false"/>
                <w:i w:val="false"/>
                <w:color w:val="000000"/>
                <w:sz w:val="24"/>
                <w:lang w:val="ro-RO"/>
              </w:rPr>
              <w:t>- parteneriate cu familia</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Planificarea consilierii individuale pentru elevii cu risc de abandon şcolar, avizată de directorul unităţii de învăţământ</w:t>
            </w:r>
          </w:p>
          <w:p>
            <w:pPr>
              <w:spacing w:before="25" w:after="0"/>
              <w:ind w:left="0"/>
              <w:jc w:val="left"/>
              <w:textAlignment w:val="auto"/>
            </w:pPr>
            <w:r>
              <w:rPr>
                <w:rFonts w:ascii="Times New Roman"/>
                <w:b w:val="false"/>
                <w:i w:val="false"/>
                <w:color w:val="000000"/>
                <w:sz w:val="24"/>
                <w:lang w:val="ro-RO"/>
              </w:rPr>
              <w:t>- Plan de activităţi de prevenire a absenteismului, avizat de directorul unităţii de învăţământ</w:t>
            </w:r>
          </w:p>
          <w:p>
            <w:pPr>
              <w:spacing w:before="25" w:after="0"/>
              <w:ind w:left="0"/>
              <w:jc w:val="left"/>
              <w:textAlignment w:val="auto"/>
            </w:pPr>
            <w:r>
              <w:rPr>
                <w:rFonts w:ascii="Times New Roman"/>
                <w:b w:val="false"/>
                <w:i w:val="false"/>
                <w:color w:val="000000"/>
                <w:sz w:val="24"/>
                <w:lang w:val="ro-RO"/>
              </w:rPr>
              <w:t>- Analiza progresului realizat la nivelul clasei</w:t>
            </w:r>
          </w:p>
          <w:p>
            <w:pPr>
              <w:spacing w:before="25" w:after="0"/>
              <w:ind w:left="0"/>
              <w:jc w:val="left"/>
              <w:textAlignment w:val="auto"/>
            </w:pPr>
            <w:r>
              <w:rPr>
                <w:rFonts w:ascii="Times New Roman"/>
                <w:b w:val="false"/>
                <w:i w:val="false"/>
                <w:color w:val="000000"/>
                <w:sz w:val="24"/>
                <w:lang w:val="ro-RO"/>
              </w:rPr>
              <w:t>- Grafic consultaţii cu părinţii/tutorii legali, procese-verbale ale şedinţelor cu părinţii/tutorii legali şi comitetul de părinţi</w:t>
            </w:r>
          </w:p>
          <w:p>
            <w:pPr>
              <w:spacing w:before="25" w:after="0"/>
              <w:ind w:left="0"/>
              <w:jc w:val="left"/>
              <w:textAlignment w:val="auto"/>
            </w:pPr>
            <w:r>
              <w:rPr>
                <w:rFonts w:ascii="Times New Roman"/>
                <w:b w:val="false"/>
                <w:i w:val="false"/>
                <w:color w:val="000000"/>
                <w:sz w:val="24"/>
                <w:lang w:val="ro-RO"/>
              </w:rPr>
              <w:t>- Informarea elevilor şi a părinţilor/tutorilor legali privind regulile de conduită, regulamentul de organizare şi funcţionare a unităţilor de învăţământ preuniversitar, regulamentul de ordine interioară, procedura de acces</w:t>
            </w:r>
          </w:p>
          <w:p>
            <w:pPr>
              <w:spacing w:before="25" w:after="0"/>
              <w:ind w:left="0"/>
              <w:jc w:val="left"/>
              <w:textAlignment w:val="auto"/>
            </w:pPr>
            <w:r>
              <w:rPr>
                <w:rFonts w:ascii="Times New Roman"/>
                <w:b w:val="false"/>
                <w:i w:val="false"/>
                <w:color w:val="000000"/>
                <w:sz w:val="24"/>
                <w:lang w:val="ro-RO"/>
              </w:rPr>
              <w:t>- Informarea părinţilor/tutorilor legali privind abaterile disciplinare, monitorizarea frecvenţei şi calitatea educaţiei</w:t>
            </w:r>
          </w:p>
        </w:tc>
      </w:tr>
      <w:tr>
        <w:trPr>
          <w:trHeight w:val="45" w:hRule="atLeast"/>
        </w:trPr>
        <w:tc>
          <w:tcPr>
            <w:tcW w:w="3600"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e) Evoluţia în cariera didactică şi dezvoltarea profesională</w:t>
            </w: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1. Dezvoltarea profesională</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Orice formă de certificare care atestă participarea la programele de formare continuă</w:t>
            </w:r>
          </w:p>
          <w:p>
            <w:pPr>
              <w:spacing w:before="25" w:after="0"/>
              <w:ind w:left="0"/>
              <w:jc w:val="left"/>
              <w:textAlignment w:val="auto"/>
            </w:pPr>
            <w:r>
              <w:rPr>
                <w:rFonts w:ascii="Times New Roman"/>
                <w:b w:val="false"/>
                <w:i w:val="false"/>
                <w:color w:val="000000"/>
                <w:sz w:val="24"/>
                <w:lang w:val="ro-RO"/>
              </w:rPr>
              <w:t>- Adeverinţe privind numărul de credite transferabile europene/profesionale (ECTS/CTP) şi/sau pentru studiile finalizate în anul şcolar curent, în vederea stabilirii stadiului de îndeplinire a condiţiei de formare continuă</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2. Activitate metodică, ştiinţifică şi publicaţii</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Adeverinţă, certificat sau diplomă de participare la activităţi metodice şi ştiinţifice (workshopuri, conferinţe, simpozioane, cercuri pedagogice etc.) emisă de organizator</w:t>
            </w:r>
          </w:p>
          <w:p>
            <w:pPr>
              <w:spacing w:before="25" w:after="0"/>
              <w:ind w:left="0"/>
              <w:jc w:val="left"/>
              <w:textAlignment w:val="auto"/>
            </w:pPr>
            <w:r>
              <w:rPr>
                <w:rFonts w:ascii="Times New Roman"/>
                <w:b w:val="false"/>
                <w:i w:val="false"/>
                <w:color w:val="000000"/>
                <w:sz w:val="24"/>
                <w:lang w:val="ro-RO"/>
              </w:rPr>
              <w:t>- Documente care atestă calitatea de prezentator sau susţinerea unei activităţi şi nivelul acesteia, emise de organizator</w:t>
            </w:r>
          </w:p>
          <w:p>
            <w:pPr>
              <w:spacing w:before="25" w:after="0"/>
              <w:ind w:left="0"/>
              <w:jc w:val="left"/>
              <w:textAlignment w:val="auto"/>
            </w:pPr>
            <w:r>
              <w:rPr>
                <w:rFonts w:ascii="Times New Roman"/>
                <w:b w:val="false"/>
                <w:i w:val="false"/>
                <w:color w:val="000000"/>
                <w:sz w:val="24"/>
                <w:lang w:val="ro-RO"/>
              </w:rPr>
              <w:t>- Copie a copertei manualului/auxiliarului didactic sau a paginii cu date de identificare (titlu, autori, editură, an, ISBN) sau a articolului publicat (prima pagină a revistei cu titlu, ISSN, an şi pagina cu articolul unde apare numele autorului)</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3. Activitate în cadrul proiectelor şi programelor educaţionale (proiecte de reformă educaţională, proiecte finanţate de Uniunea Europeană/Banca Mondială/granturi SEE şi norvegiene, PNRR ş.a.)</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Contract sau decizie de participare în proiect</w:t>
            </w:r>
          </w:p>
          <w:p>
            <w:pPr>
              <w:spacing w:before="25" w:after="0"/>
              <w:ind w:left="0"/>
              <w:jc w:val="left"/>
              <w:textAlignment w:val="auto"/>
            </w:pPr>
            <w:r>
              <w:rPr>
                <w:rFonts w:ascii="Times New Roman"/>
                <w:b w:val="false"/>
                <w:i w:val="false"/>
                <w:color w:val="000000"/>
                <w:sz w:val="24"/>
                <w:lang w:val="ro-RO"/>
              </w:rPr>
              <w:t>- Produse ale activităţii (materiale elaborate, rapoarte de implementare)</w:t>
            </w:r>
          </w:p>
        </w:tc>
      </w:tr>
      <w:tr>
        <w:trPr>
          <w:trHeight w:val="45" w:hRule="atLeast"/>
        </w:trPr>
        <w:tc>
          <w:tcPr>
            <w:tcW w:w="0" w:type="auto"/>
            <w:vMerge/>
            <w:tcBorders>
              <w:top w:val="nil"/>
              <w:bottom w:val="single" w:color="000000" w:sz="8"/>
              <w:right w:val="single" w:color="000000" w:sz="8"/>
            </w:tcBorders>
          </w:tcPr>
          <w:p/>
        </w:tc>
        <w:tc>
          <w:tcPr>
            <w:tcW w:w="4464"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4. Funcţii de conducere, îndrumare şi control</w:t>
            </w:r>
          </w:p>
        </w:tc>
        <w:tc>
          <w:tcPr>
            <w:tcW w:w="6336"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 Ordine de ministru/Decizii de numire în funcţie</w:t>
            </w:r>
          </w:p>
          <w:p>
            <w:pPr>
              <w:spacing w:before="25" w:after="0"/>
              <w:ind w:left="0"/>
              <w:jc w:val="left"/>
              <w:textAlignment w:val="auto"/>
            </w:pPr>
            <w:r>
              <w:rPr>
                <w:rFonts w:ascii="Times New Roman"/>
                <w:b w:val="false"/>
                <w:i w:val="false"/>
                <w:color w:val="000000"/>
                <w:sz w:val="24"/>
                <w:lang w:val="ro-RO"/>
              </w:rPr>
              <w:t>- Documente relevante privind activităţile specifice de management şi leadership în comisiile sau structurile de conducere ale unităţii de învăţământ preuniversitar, precum şi în alte structuri cu atribuţii în domeniul educaţiei</w:t>
            </w:r>
          </w:p>
        </w:tc>
      </w:tr>
    </w:tbl>
    <w:p>
      <w:pPr>
        <w:spacing w:before="26" w:after="240"/>
        <w:ind w:left="0"/>
        <w:jc w:val="left"/>
        <w:textAlignment w:val="auto"/>
      </w:pPr>
      <w:r>
        <w:rPr>
          <w:rFonts w:ascii="Times New Roman"/>
          <w:b w:val="false"/>
          <w:i w:val="false"/>
          <w:color w:val="000000"/>
          <w:sz w:val="24"/>
          <w:lang w:val="ro-RO"/>
        </w:rPr>
        <w:t>NOTĂ:</w:t>
      </w:r>
    </w:p>
    <w:p>
      <w:pPr>
        <w:spacing w:before="26" w:after="240"/>
        <w:ind w:left="0"/>
        <w:jc w:val="left"/>
        <w:textAlignment w:val="auto"/>
      </w:pPr>
      <w:r>
        <w:rPr>
          <w:rFonts w:ascii="Times New Roman"/>
          <w:b w:val="false"/>
          <w:i w:val="false"/>
          <w:color w:val="000000"/>
          <w:sz w:val="24"/>
          <w:lang w:val="ro-RO"/>
        </w:rPr>
        <w:t>Lista documentelor justificative are caracter orientativ. Cadrul didactic include documentele relevante pentru activitatea sa, adaptate specificului postului, nivelului de învăţământ, nivelului în cariera didactică şi procedurii interne a unităţii de învăţământ.</w:t>
      </w:r>
    </w:p>
    <w:p>
      <w:pPr>
        <w:spacing w:before="26" w:after="240"/>
        <w:ind w:left="0"/>
        <w:jc w:val="left"/>
        <w:textAlignment w:val="auto"/>
      </w:pPr>
      <w:r>
        <w:rPr>
          <w:rFonts w:ascii="Times New Roman"/>
          <w:b w:val="false"/>
          <w:i w:val="false"/>
          <w:color w:val="000000"/>
          <w:sz w:val="24"/>
          <w:lang w:val="ro-RO"/>
        </w:rPr>
        <w:t>Unităţile de învăţământ special, unităţile de educaţie extraşcolară, casele corpului didactic, centrele de resurse şi asistenţă educaţională pot adapta la specificul instituţional, prin procedură proprie, atât structura şi conţinutul portofoliului profesional, cât şi aspectele prevăzute la art. 13 alin. (1) din metodologia-cadru.</w:t>
      </w: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ANEXA nr. 2:</w:t>
      </w:r>
      <w:r>
        <w:rPr>
          <w:rFonts w:ascii="Times New Roman"/>
          <w:b/>
          <w:i w:val="false"/>
          <w:color w:val="000000"/>
          <w:sz w:val="24"/>
          <w:lang w:val="ro-RO"/>
        </w:rPr>
        <w:t>DECLARAŢIE</w:t>
      </w:r>
    </w:p>
    <w:p>
      <w:pPr>
        <w:spacing w:before="26" w:after="240"/>
        <w:ind w:left="0"/>
        <w:jc w:val="left"/>
        <w:textAlignment w:val="auto"/>
      </w:pPr>
      <w:r>
        <w:rPr>
          <w:rFonts w:ascii="Times New Roman"/>
          <w:b/>
          <w:i w:val="false"/>
          <w:color w:val="000000"/>
          <w:sz w:val="24"/>
          <w:lang w:val="ro-RO"/>
        </w:rPr>
        <w:t>DECLARAŢIE</w:t>
      </w:r>
    </w:p>
    <w:p>
      <w:pPr>
        <w:spacing w:before="26" w:after="240"/>
        <w:ind w:left="0"/>
        <w:jc w:val="left"/>
        <w:textAlignment w:val="auto"/>
      </w:pPr>
      <w:r>
        <w:rPr>
          <w:rFonts w:ascii="Times New Roman"/>
          <w:b w:val="false"/>
          <w:i w:val="false"/>
          <w:color w:val="000000"/>
          <w:sz w:val="24"/>
          <w:lang w:val="ro-RO"/>
        </w:rPr>
        <w:t xml:space="preserve">Subsemnata/Subsemnatul, ......................................................., domiciliat(ă) în ..........................., str. ..................... nr. ........, bl. ........, ap. ....., judeţul/sectorul ............., legitimată/legitimat cu .......... seria ....... nr. ............, CNP ..............., încadrată/încadrat în anul şcolar ................ în unitatea de învăţământ/instituţia ........................ pe funcţia didactică ............................, declar că am luat cunoştinţă de drepturile prevăzute de Regulamentul (UE) </w:t>
      </w:r>
      <w:r>
        <w:rPr>
          <w:rFonts w:ascii="Times New Roman"/>
          <w:b w:val="false"/>
          <w:i w:val="false"/>
          <w:color w:val="1b1b1b"/>
          <w:sz w:val="24"/>
          <w:lang w:val="ro-RO"/>
        </w:rPr>
        <w:t>2016/679</w:t>
      </w:r>
      <w:r>
        <w:rPr>
          <w:rFonts w:ascii="Times New Roman"/>
          <w:b w:val="false"/>
          <w:i w:val="false"/>
          <w:color w:val="000000"/>
          <w:sz w:val="24"/>
          <w:lang w:val="ro-RO"/>
        </w:rPr>
        <w:t xml:space="preserve"> privind protecţia persoanelor fizice în ceea ce priveşte prelucrarea datelor cu caracter personal şi privind libera circulaţie a acestor date şi de abrogare a Directivei </w:t>
      </w:r>
      <w:r>
        <w:rPr>
          <w:rFonts w:ascii="Times New Roman"/>
          <w:b w:val="false"/>
          <w:i w:val="false"/>
          <w:color w:val="1b1b1b"/>
          <w:sz w:val="24"/>
          <w:lang w:val="ro-RO"/>
        </w:rPr>
        <w:t>95/46/CE</w:t>
      </w:r>
      <w:r>
        <w:rPr>
          <w:rFonts w:ascii="Times New Roman"/>
          <w:b w:val="false"/>
          <w:i w:val="false"/>
          <w:color w:val="000000"/>
          <w:sz w:val="24"/>
          <w:lang w:val="ro-RO"/>
        </w:rPr>
        <w:t xml:space="preserve"> şi îmi exprim consimţământul pentru prelucrarea datelor mele cu caracter personal de către unitatea de învăţământ.</w:t>
      </w:r>
    </w:p>
    <w:p>
      <w:pPr>
        <w:spacing w:before="26" w:after="240"/>
        <w:ind w:left="0"/>
        <w:jc w:val="left"/>
        <w:textAlignment w:val="auto"/>
      </w:pPr>
      <w:r>
        <w:rPr>
          <w:rFonts w:ascii="Times New Roman"/>
          <w:b w:val="false"/>
          <w:i w:val="false"/>
          <w:color w:val="000000"/>
          <w:sz w:val="24"/>
          <w:lang w:val="ro-RO"/>
        </w:rPr>
        <w:t xml:space="preserve">Cunoscând prevederile art. 326 din </w:t>
      </w:r>
      <w:r>
        <w:rPr>
          <w:rFonts w:ascii="Times New Roman"/>
          <w:b w:val="false"/>
          <w:i w:val="false"/>
          <w:color w:val="1b1b1b"/>
          <w:sz w:val="24"/>
          <w:lang w:val="ro-RO"/>
        </w:rPr>
        <w:t>Codul penal</w:t>
      </w:r>
      <w:r>
        <w:rPr>
          <w:rFonts w:ascii="Times New Roman"/>
          <w:b w:val="false"/>
          <w:i w:val="false"/>
          <w:color w:val="000000"/>
          <w:sz w:val="24"/>
          <w:lang w:val="ro-RO"/>
        </w:rPr>
        <w:t xml:space="preserve"> cu privire la falsul în declaraţii, declar pe propria răspundere că documentele şi materialele care compun portofoliul profesional sunt copii ale documentelor autentice care confirmă/certifică activităţile desfăşurate şi îmi aparţin.</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4327"/>
        <w:gridCol w:w="4327"/>
      </w:tblGrid>
      <w:tr>
        <w:trPr>
          <w:trHeight w:val="45" w:hRule="atLeast"/>
        </w:trPr>
        <w:tc>
          <w:tcPr>
            <w:tcW w:w="4327"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Data .............................</w:t>
            </w:r>
          </w:p>
        </w:tc>
        <w:tc>
          <w:tcPr>
            <w:tcW w:w="4327"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Semnătura .....................................</w:t>
            </w:r>
          </w:p>
        </w:tc>
      </w:tr>
    </w:tbl>
    <w:p>
      <w:pPr>
        <w:spacing w:before="26" w:after="240"/>
        <w:ind w:left="0"/>
        <w:jc w:val="left"/>
        <w:textAlignment w:val="auto"/>
      </w:pPr>
      <w:r>
        <w:rPr>
          <w:rFonts w:ascii="Times New Roman"/>
          <w:b w:val="false"/>
          <w:i w:val="false"/>
          <w:color w:val="000000"/>
          <w:sz w:val="24"/>
          <w:lang w:val="ro-RO"/>
        </w:rPr>
        <w:t>Publicat în Monitorul Oficial cu numărul 392 din data de 8 mai 2026</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tbl>
    <w:tblPr>
      <w:tblBorders>
        <w:bottom w:val="single" w:color="FFFFFF" w:space="800"/>
      </w:tblBorders>
    </w:tblPr>
    <w:tblGrid>
      <w:gridCol w:w="4513"/>
      <w:gridCol w:w="4513"/>
    </w:tblGrid>
    <w:tr>
      <w:trPr>
        <w:trHeight w:val="2000" w:hRule="exact"/>
      </w:trPr>
      <w:tc>
        <w:tcPr>
          <w:tcW w:w="4513" w:type="dxa"/>
        </w:tcPr>
        <w:p/>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tc>
      <w:tc>
        <w:tcPr>
          <w:tcW w:w="4513" w:type="dxa"/>
        </w:tcPr>
        <w:p/>
        <w:p>
          <w:pPr>
            <w:jc w:val="right"/>
          </w:pPr>
          <w:r>
            <w:t>15.05.2026</w:t>
          </w:r>
        </w:p>
      </w:tc>
    </w:tr>
  </w:tbl>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